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CC" w:rsidRPr="000E06CC" w:rsidRDefault="000E06CC" w:rsidP="000E06C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shd w:val="clear" w:color="auto" w:fill="FFFFFF"/>
        </w:rPr>
        <w:t>Новый порядок расчетов за тепловую энергию и природный газ</w:t>
      </w:r>
    </w:p>
    <w:p w:rsidR="000E06CC" w:rsidRPr="000E06CC" w:rsidRDefault="000E06CC" w:rsidP="000E06CC">
      <w:pPr>
        <w:spacing w:after="0" w:line="240" w:lineRule="auto"/>
        <w:rPr>
          <w:rFonts w:ascii="Verdana" w:eastAsia="Times New Roman" w:hAnsi="Verdana" w:cs="Times New Roman"/>
          <w:color w:val="4C4C4C"/>
          <w:sz w:val="24"/>
          <w:szCs w:val="24"/>
          <w:shd w:val="clear" w:color="auto" w:fill="FFFFFF"/>
        </w:rPr>
      </w:pPr>
      <w:r w:rsidRPr="000E06CC">
        <w:rPr>
          <w:rFonts w:ascii="Arial Narrow" w:eastAsia="Times New Roman" w:hAnsi="Arial Narrow" w:cs="Times New Roman"/>
          <w:color w:val="262699"/>
          <w:spacing w:val="-20"/>
          <w:sz w:val="48"/>
        </w:rPr>
        <w:t>26</w:t>
      </w:r>
      <w:r w:rsidRPr="000E06CC">
        <w:rPr>
          <w:rFonts w:ascii="Arial" w:eastAsia="Times New Roman" w:hAnsi="Arial" w:cs="Arial"/>
          <w:color w:val="FFA54C"/>
          <w:spacing w:val="-20"/>
          <w:sz w:val="24"/>
          <w:szCs w:val="24"/>
        </w:rPr>
        <w:t>ноября </w:t>
      </w:r>
      <w:r w:rsidRPr="000E06CC">
        <w:rPr>
          <w:rFonts w:ascii="Arial" w:eastAsia="Times New Roman" w:hAnsi="Arial" w:cs="Arial"/>
          <w:color w:val="FFA54C"/>
          <w:spacing w:val="-20"/>
          <w:sz w:val="24"/>
          <w:szCs w:val="24"/>
          <w:shd w:val="clear" w:color="auto" w:fill="FFFFFF"/>
        </w:rPr>
        <w:br/>
      </w:r>
      <w:r w:rsidRPr="000E06CC">
        <w:rPr>
          <w:rFonts w:ascii="Arial" w:eastAsia="Times New Roman" w:hAnsi="Arial" w:cs="Arial"/>
          <w:color w:val="FFA54C"/>
          <w:spacing w:val="-20"/>
          <w:sz w:val="24"/>
          <w:szCs w:val="24"/>
        </w:rPr>
        <w:t>2009</w:t>
      </w:r>
    </w:p>
    <w:p w:rsidR="000E06CC" w:rsidRPr="000E06CC" w:rsidRDefault="000E06CC" w:rsidP="000E06CC">
      <w:pPr>
        <w:spacing w:after="0" w:line="320" w:lineRule="atLeast"/>
        <w:jc w:val="righ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Утвержден</w:t>
      </w: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br/>
        <w:t>Постановлением Правительства</w:t>
      </w: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br/>
        <w:t>Российской Федерации</w:t>
      </w: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br/>
        <w:t>от 4 апреля 2000 г. N 294</w:t>
      </w: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br/>
        <w:t>(в редакции Постановления</w:t>
      </w: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br/>
        <w:t>Правительства Российской</w:t>
      </w: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br/>
        <w:t>Федерации от 17 октября 2009 г. N 816)</w:t>
      </w:r>
    </w:p>
    <w:p w:rsidR="000E06CC" w:rsidRPr="000E06CC" w:rsidRDefault="000E06CC" w:rsidP="000E06CC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b/>
          <w:bCs/>
          <w:color w:val="2D2D2D"/>
          <w:sz w:val="30"/>
        </w:rPr>
        <w:t>Порядок расчетов за тепловую энергию и природный газ</w:t>
      </w:r>
    </w:p>
    <w:p w:rsidR="000E06CC" w:rsidRPr="000E06CC" w:rsidRDefault="000E06CC" w:rsidP="000E06CC">
      <w:pPr>
        <w:spacing w:before="100" w:after="10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1. Настоящий Порядок, разработанный в соответствии с частью второй статьи 544 Гражданского кодекса Российской Федерации, устанавливает правила расчетов за тепловую энергию и природный газ между поставщиками тепловой энергии и природного газа независимо от их организационно-правовой формы и потребителями (юридическими лицами) тепловой энергии и природного газа.</w:t>
      </w:r>
    </w:p>
    <w:p w:rsidR="000E06CC" w:rsidRPr="000E06CC" w:rsidRDefault="000E06CC" w:rsidP="000E06CC">
      <w:pPr>
        <w:spacing w:before="100" w:after="10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2. Оплата потребителями тепловой энергии на территории Российской Федерации осуществляется в следующем порядке:</w:t>
      </w:r>
    </w:p>
    <w:p w:rsidR="000E06CC" w:rsidRPr="000E06CC" w:rsidRDefault="000E06CC" w:rsidP="000E06CC">
      <w:pPr>
        <w:numPr>
          <w:ilvl w:val="0"/>
          <w:numId w:val="1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35 процентов плановой общей стоимости тепловой энергии, потребляемой в месяце, за который осуществляется оплата, вносится в срок до 18-го числа этого месяца;</w:t>
      </w:r>
    </w:p>
    <w:p w:rsidR="000E06CC" w:rsidRPr="000E06CC" w:rsidRDefault="000E06CC" w:rsidP="000E06CC">
      <w:pPr>
        <w:numPr>
          <w:ilvl w:val="0"/>
          <w:numId w:val="1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50 процентов плановой общей стоимости тепловой энергии, потребляемой в месяце, за который осуществляется оплата, вносится в срок до последнего числа этого месяца;</w:t>
      </w:r>
    </w:p>
    <w:p w:rsidR="000E06CC" w:rsidRPr="000E06CC" w:rsidRDefault="000E06CC" w:rsidP="000E06CC">
      <w:pPr>
        <w:numPr>
          <w:ilvl w:val="0"/>
          <w:numId w:val="1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оплата за фактически потребленную в истекшем месяце тепловую энергию с учетом средств, ранее внесенных потребителем в качестве оплаты за тепловую энергию в расчетном периоде, осуществляется в срок до 10-го числа месяца, следующего за месяцем, за который осуществляется оплата. В случае если объем фактического потребления тепловой энергии за истекший месяц меньше планового объема, определенного соглашением сторон, излишне уплаченная сумма зачитывается в счет платежа за следующий месяц.</w:t>
      </w:r>
    </w:p>
    <w:p w:rsidR="000E06CC" w:rsidRPr="000E06CC" w:rsidRDefault="000E06CC" w:rsidP="000E06CC">
      <w:pPr>
        <w:spacing w:before="100" w:after="10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3. Оплата потребителями природного газа на территории Российской Федерации осуществляется в следующем порядке:</w:t>
      </w:r>
    </w:p>
    <w:p w:rsidR="000E06CC" w:rsidRPr="000E06CC" w:rsidRDefault="000E06CC" w:rsidP="000E06CC">
      <w:pPr>
        <w:numPr>
          <w:ilvl w:val="0"/>
          <w:numId w:val="2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35 процентов плановой общей стоимости планового объема потребления природного газа в месяце, за который осуществляется оплата, вносится в срок до 18-го числа этого месяца;</w:t>
      </w:r>
    </w:p>
    <w:p w:rsidR="000E06CC" w:rsidRPr="000E06CC" w:rsidRDefault="000E06CC" w:rsidP="000E06CC">
      <w:pPr>
        <w:numPr>
          <w:ilvl w:val="0"/>
          <w:numId w:val="2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lastRenderedPageBreak/>
        <w:t>50 процентов плановой общей стоимости планового объема потребления природного газа в месяце, за который осуществляется оплата, вносится в срок до последнего числа этого месяца;</w:t>
      </w:r>
    </w:p>
    <w:p w:rsidR="000E06CC" w:rsidRPr="000E06CC" w:rsidRDefault="000E06CC" w:rsidP="000E06CC">
      <w:pPr>
        <w:numPr>
          <w:ilvl w:val="0"/>
          <w:numId w:val="2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фактически потребленный в истекшем месяце природный газ с учетом средств, ранее внесенных потребителями в качестве оплаты за природный газ в расчетном периоде, оплачивается в срок до 25-го числа месяца, следующего за месяцем, за который осуществляется оплата. В случае если объем фактического потребления природного газа за истекший месяц меньше планового объема, определенного соглашением сторон, излишне уплаченная сумма зачитывается в счет платежа за следующий месяц.</w:t>
      </w:r>
    </w:p>
    <w:p w:rsidR="000E06CC" w:rsidRPr="000E06CC" w:rsidRDefault="000E06CC" w:rsidP="000E06CC">
      <w:pPr>
        <w:spacing w:before="100" w:after="10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4. </w:t>
      </w:r>
      <w:proofErr w:type="gram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Плановая общая стоимость потребляемой тепловой энергии и природного газа в месяце, за который осуществляется оплата, для целей, предусмотренных настоящим Порядком, рассчитывается как произведение определенного соглашением сторон планового объема потребления тепловой энергии и природного газа в месяце, за который осуществляется оплата, и тарифа (цены) на тепловую энергию и природный газ, установленного в соответствии с законодательством Российской Федерации.</w:t>
      </w:r>
      <w:proofErr w:type="gramEnd"/>
    </w:p>
    <w:p w:rsidR="000E06CC" w:rsidRPr="000E06CC" w:rsidRDefault="000E06CC" w:rsidP="000E06CC">
      <w:pPr>
        <w:spacing w:before="100" w:after="10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5. </w:t>
      </w:r>
      <w:proofErr w:type="gram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Положения настоящего Порядка не применяются в отношении бюджетных учреждений, деятельность которых финансируется из соответствующего бюджета на основе сметы доходов и расходов, казенных предприятий, товариществ собственников жилья, жилищно-строительных, жилищных и иных специализированных потребительских кооперативов, управляющих организаций или индивидуальных предпринимателей, осуществляющих управление многоквартирными домами, если предварительная оплата коммунальных услуг не установлена в договоре управления многоквартирными домами, а также в отношении организаций, осуществляющих</w:t>
      </w:r>
      <w:proofErr w:type="gramEnd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 поставку тепловой энергии указанным потребителям, если доля поставки тепловой энергии в общем объеме поставляемых указанными организациями товаров и услуг составляет более 75 процентов</w:t>
      </w:r>
      <w:proofErr w:type="gram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.".</w:t>
      </w:r>
      <w:proofErr w:type="gramEnd"/>
    </w:p>
    <w:p w:rsidR="000E06CC" w:rsidRPr="000E06CC" w:rsidRDefault="000E06CC" w:rsidP="000E06CC">
      <w:pPr>
        <w:spacing w:before="100" w:after="10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2. </w:t>
      </w:r>
      <w:proofErr w:type="gram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Правила оптового рынка электрической энергии (мощности) переходного периода, утвержденные Постановлением Правительства Российской Федерации от 24 октября 2003 г. N 643 (Собрание законодательства Российской Федерации, 2003, N 44, ст. 4312; 2006, N 36, ст. 3835; 2007, N 16, ст. 1909; 2008, N 2, ст. 84; N 3, ст. 182; N 27, ст. 3285;</w:t>
      </w:r>
      <w:proofErr w:type="gramEnd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 </w:t>
      </w:r>
      <w:proofErr w:type="gram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2009, N 23, ст. 2822; N 32, ст. 4040; N 38, ст. 4479), дополнить пунктами 15.1 и 15.2 следующего содержания:</w:t>
      </w:r>
      <w:proofErr w:type="gramEnd"/>
    </w:p>
    <w:p w:rsidR="000E06CC" w:rsidRPr="000E06CC" w:rsidRDefault="000E06CC" w:rsidP="000E06CC">
      <w:pPr>
        <w:spacing w:before="100" w:after="10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highlight w:val="yellow"/>
          <w:shd w:val="clear" w:color="auto" w:fill="FFFFFF"/>
        </w:rPr>
        <w:lastRenderedPageBreak/>
        <w:t xml:space="preserve">«15.1. </w:t>
      </w:r>
      <w:proofErr w:type="gram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highlight w:val="yellow"/>
          <w:shd w:val="clear" w:color="auto" w:fill="FFFFFF"/>
        </w:rPr>
        <w:t>Оплата участниками оптового рынка электрической энергии</w:t>
      </w: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 (за исключением объемов электрической энергии, приобретаемой по свободным договорам купли-продажи электрической энергии и мощности, свободным договорам купли-продажи электрической энергии и свободным договорам купли-продажи отклонений, с учетом особенностей, предусмотренных договором о присоединении к торговой системе оптового рынка исключительно для оплаты электрической энергии в январе и феврале) осуществляется в соответствии с договором о присоединении к торговой</w:t>
      </w:r>
      <w:proofErr w:type="gramEnd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 системе оптового рынка с учетом следующего:</w:t>
      </w:r>
    </w:p>
    <w:p w:rsidR="000E06CC" w:rsidRPr="000E06CC" w:rsidRDefault="000E06CC" w:rsidP="000E06CC">
      <w:pPr>
        <w:numPr>
          <w:ilvl w:val="0"/>
          <w:numId w:val="3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proofErr w:type="gram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оплата осуществляется в срок до 14-го числа расчетного периода по обязательствам, возникшим в отношении объемов электрической энергии, купленных участниками оптового рынка по договорам, обеспечивающим куплю-продажу электрической энергии по результатам конкурентного отбора ценовых заявок на сутки вперед с 1-го по 9-е число (включительно) расчетного периода, и в срок до 28-го числа текущего месяца за объемы электрической энергии, купленные участниками оптового рынка</w:t>
      </w:r>
      <w:proofErr w:type="gramEnd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 с 10-го по 23-е число (включительно) расчетного периода;</w:t>
      </w:r>
    </w:p>
    <w:p w:rsidR="000E06CC" w:rsidRPr="000E06CC" w:rsidRDefault="000E06CC" w:rsidP="000E06CC">
      <w:pPr>
        <w:numPr>
          <w:ilvl w:val="0"/>
          <w:numId w:val="3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proofErr w:type="gram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оплата осуществляется в срок до 14-го числа расчетного периода по обязательствам, возникшим в отношении объемов электрической энергии, купленных участниками оптового рынка по регулируемым договорам с 1-го по 13-е число (включительно) расчетного периода, и в срок до 28-го числа расчетного периода за объемы электрической энергии, купленные участниками оптового рынка с 14-го по последнее число (включительно) расчетного периода, если иное не установлено</w:t>
      </w:r>
      <w:proofErr w:type="gramEnd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 соглашением между продавцом и покупателем, предусмотренным договором о присоединении к торговой системе оптового рынка;</w:t>
      </w:r>
    </w:p>
    <w:p w:rsidR="000E06CC" w:rsidRPr="000E06CC" w:rsidRDefault="000E06CC" w:rsidP="000E06CC">
      <w:pPr>
        <w:numPr>
          <w:ilvl w:val="0"/>
          <w:numId w:val="3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оплата за электрическую энергию, фактически купленную в расчетном периоде по договорам, обеспечивающим куплю-продажу электрической энергии, осуществляется в срок до 21-го числа месяца, следующего за расчетным периодом, если иное не установлено соглашением между продавцом и покупателем, предусмотренным договором о присоединении к торговой системе оптового рынка.</w:t>
      </w:r>
    </w:p>
    <w:p w:rsidR="000E06CC" w:rsidRPr="000E06CC" w:rsidRDefault="000E06CC" w:rsidP="000E06CC">
      <w:pPr>
        <w:spacing w:before="100" w:after="10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Для целей настоящих Правил под расчетным периодом понимается календарный месяц.</w:t>
      </w:r>
    </w:p>
    <w:p w:rsidR="000E06CC" w:rsidRPr="000E06CC" w:rsidRDefault="000E06CC" w:rsidP="000E06CC">
      <w:pPr>
        <w:spacing w:before="100" w:after="10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15.2. Оплата мощности участниками оптового рынка с использованием всех предусмотренных механизмов торговли на оптовом рынке (за исключением объемов мощности, приобретаемой по регулируемым договорам и свободным договорам купли-продажи электрической энергии и мощности) осуществляется в соответствии с договором о </w:t>
      </w: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lastRenderedPageBreak/>
        <w:t>присоединении к торговой системе оптового рынка с учетом следующего:</w:t>
      </w:r>
    </w:p>
    <w:p w:rsidR="000E06CC" w:rsidRPr="000E06CC" w:rsidRDefault="000E06CC" w:rsidP="000E06CC">
      <w:pPr>
        <w:numPr>
          <w:ilvl w:val="0"/>
          <w:numId w:val="4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proofErr w:type="gram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сумма платежа по обязательствам, возникающим в отношении плановых объемов мощности, потребляемой участниками оптового рынка в расчетный период, определяемых в соответствии с договором о присоединении к торговой системе оптового рынка, составляет не более 30 процентов общей стоимости планового объема потребления мощности по соответствующим механизмам торговли мощностью на оптовом рынке и вносится равными долями в срок соответственно до 14-го и 28-го числа</w:t>
      </w:r>
      <w:proofErr w:type="gramEnd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 расчетного периода, если иное не установлено соглашением между продавцом и покупателем, предусмотренным договором о присоединении к торговой системе оптового рынка;</w:t>
      </w:r>
    </w:p>
    <w:p w:rsidR="000E06CC" w:rsidRPr="000E06CC" w:rsidRDefault="000E06CC" w:rsidP="000E06CC">
      <w:pPr>
        <w:numPr>
          <w:ilvl w:val="0"/>
          <w:numId w:val="4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оплата за фактически купленный объем мощности в расчетном периоде осуществляется в срок до 21-го числа месяца, следующего за расчетным периодом, если иное не установлено соглашением между продавцом и покупателем, предусмотренным договором о присоединении к торговой системе оптового рынка».</w:t>
      </w:r>
    </w:p>
    <w:p w:rsidR="000E06CC" w:rsidRPr="000E06CC" w:rsidRDefault="000E06CC" w:rsidP="000E06CC">
      <w:pPr>
        <w:spacing w:before="100" w:after="10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3. </w:t>
      </w:r>
      <w:proofErr w:type="gram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В Правилах функционирования розничных рынков электрической энергии в переходный период реформирования электроэнергетики, утвержденных Постановлением Правительства Российской Федерации от 31 августа 2006 г. N 530 (Собрание законодательства Российской Федерации, 2006, N 37, ст. 3876; 2008, N 27, ст. 3285, с учетом изменений, внесенных Постановлением Правительства Российской Федерации от 2 октября 2009 г. N 785):</w:t>
      </w:r>
      <w:proofErr w:type="gramEnd"/>
    </w:p>
    <w:p w:rsidR="000E06CC" w:rsidRPr="000E06CC" w:rsidRDefault="000E06CC" w:rsidP="000E06CC">
      <w:pPr>
        <w:spacing w:after="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пункт 67 дополнить абзацем следующего содержания:</w:t>
      </w: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br/>
        <w:t xml:space="preserve">«По инициативе покупателя (за исключением покупателей на территориях, объединенных в ценовые зоны оптового рынка электрической энергии, и покупателей, приобретающих электрическую энергию одновременно на оптовом и розничных рынках электрической энергии) указанный договорный объем электрической энергии (без учета мощности) может быть скорректирован не </w:t>
      </w:r>
      <w:proofErr w:type="gram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позднее</w:t>
      </w:r>
      <w:proofErr w:type="gramEnd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 чем за 15 дней до начала месяца, в отношении которого заявлен соответствующий договорный объем.»;</w:t>
      </w:r>
    </w:p>
    <w:p w:rsidR="000E06CC" w:rsidRPr="000E06CC" w:rsidRDefault="000E06CC" w:rsidP="000E06CC">
      <w:pPr>
        <w:spacing w:after="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highlight w:val="yellow"/>
          <w:shd w:val="clear" w:color="auto" w:fill="FFFFFF"/>
        </w:rPr>
        <w:t>пункт 70 изложить в следующей редакции:</w:t>
      </w: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br/>
        <w:t xml:space="preserve">«70. Покупатели (за исключением граждан-потребителей и исполнителей коммунальной услуги по электроснабжению, приобретающих электрическую энергию в объеме, определяемом в соответствии с пунктом 89 настоящих Правил) оплачивают электрическую энергию (мощность) гарантирующему поставщику по тарифу, установленному органом исполнительной власти субъекта Российской Федерации в области государственного регулирования </w:t>
      </w: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lastRenderedPageBreak/>
        <w:t>тарифов для данной категории потребителей, и свободным (нерегулируемым) ценам за потребленный объем электрической энергии (мощности) в следующем порядке:</w:t>
      </w:r>
    </w:p>
    <w:p w:rsidR="000E06CC" w:rsidRPr="000E06CC" w:rsidRDefault="000E06CC" w:rsidP="000E06CC">
      <w:pPr>
        <w:numPr>
          <w:ilvl w:val="0"/>
          <w:numId w:val="5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30 процентов стоимости договорного объема потребления электрической энергии (мощности) в месяце, за который осуществляется оплата, вносится в срок до 10-го числа этого месяца;</w:t>
      </w:r>
    </w:p>
    <w:p w:rsidR="000E06CC" w:rsidRPr="000E06CC" w:rsidRDefault="000E06CC" w:rsidP="000E06CC">
      <w:pPr>
        <w:numPr>
          <w:ilvl w:val="0"/>
          <w:numId w:val="5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40 процентов стоимости договорного объема потребления электрической энергии (мощности) в месяце, за который осуществляется оплата, вносится в срок до 25-го числа этого месяца;</w:t>
      </w:r>
    </w:p>
    <w:p w:rsidR="000E06CC" w:rsidRPr="000E06CC" w:rsidRDefault="000E06CC" w:rsidP="000E06CC">
      <w:pPr>
        <w:numPr>
          <w:ilvl w:val="0"/>
          <w:numId w:val="5"/>
        </w:numPr>
        <w:spacing w:after="0" w:line="320" w:lineRule="atLeast"/>
        <w:ind w:left="0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фактически потребленная в истекшем месяце электрическая энергия (мощность) с учетом средств, ранее внесенных потребителями в качестве оплаты за электрическую энергию (мощность) в расчетном периоде, оплачивается в срок до 18-го числа месяца, следующего за месяцем, за который осуществляется оплата. В случае если объем фактического потребления электрической энергии (мощности) за расчетный период меньше договорного объема, излишне уплаченная сумма зачитывается в счет платежа за следующий месяц.</w:t>
      </w:r>
    </w:p>
    <w:p w:rsidR="000E06CC" w:rsidRPr="000E06CC" w:rsidRDefault="000E06CC" w:rsidP="000E06CC">
      <w:pPr>
        <w:spacing w:before="100" w:after="10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В случае если договор энергоснабжения (договор купли-продажи (поставки) электрической энергии) заключается гарантирующим поставщиком с </w:t>
      </w:r>
      <w:proofErr w:type="spell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энергосбытовой</w:t>
      </w:r>
      <w:proofErr w:type="spellEnd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 организацией, в нем предусматривается условие о предварительной оплате электрической энергии (мощности) или об обеспечении исполнения обязательств по договору. </w:t>
      </w:r>
      <w:proofErr w:type="gram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Если иное не установлено договором энергоснабжения (договором купли-продажи (поставки) электрической энергии), условие о предварительной оплате электрической энергии (мощности) предусматривает оплату гарантирующему поставщику по тарифу, установленному органом исполнительной власти субъекта Российской Федерации в области государственного регулирования тарифов для соответствующей категории потребителей, и свободным (нерегулируемым) ценам половины договорного объема потребления электрической энергии (мощности) до 1-го числа месяца, в котором осуществляется потребление электрической</w:t>
      </w:r>
      <w:proofErr w:type="gramEnd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 энергии.</w:t>
      </w:r>
    </w:p>
    <w:p w:rsidR="000E06CC" w:rsidRPr="000E06CC" w:rsidRDefault="000E06CC" w:rsidP="000E06CC">
      <w:pPr>
        <w:spacing w:before="100" w:after="10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proofErr w:type="gramStart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Стоимость договорного объема потребления электрической энергии (мощности) для расчета размера платежей, которые должны быть произведены гарантирующему поставщику потребителем 10-го и 25-го числа месяца, в котором осуществляется потребление электрической энергии (мощности), определяется исходя из договорных объемов потребления электрической энергии (мощности) и средневзвешенной цены за единицу электрической энергии (мощности) за предшествующий расчетный период.</w:t>
      </w:r>
      <w:proofErr w:type="gramEnd"/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 xml:space="preserve"> Средневзвешенная цена определяется исходя из сложившегося соотношения объемов поставки </w:t>
      </w: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lastRenderedPageBreak/>
        <w:t>электрической энергии (мощности) по регулируемым и нерегулируемым ценам, тарифов и нерегулируемой цены, определенной в порядке, установленном разделом VII настоящих Правил.</w:t>
      </w:r>
    </w:p>
    <w:p w:rsidR="000E06CC" w:rsidRPr="000E06CC" w:rsidRDefault="000E06CC" w:rsidP="000E06CC">
      <w:pPr>
        <w:spacing w:after="0" w:line="320" w:lineRule="atLeast"/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</w:pP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t>Для целей настоящего пункта договорные объемы потребления электрической энергии (мощности) определяются как равные максимальному значению из фактического объема потребления электрической энергии (мощности) за прошлый месяц и договорного объема потребления электрической энергии (мощности) для соответствующего месяца, заявленного покупателем в соответствии с пунктом 67 настоящих Правил.</w:t>
      </w:r>
      <w:r w:rsidRPr="000E06CC">
        <w:rPr>
          <w:rFonts w:ascii="Times New Roman" w:eastAsia="Times New Roman" w:hAnsi="Times New Roman" w:cs="Times New Roman"/>
          <w:color w:val="2D2D2D"/>
          <w:sz w:val="30"/>
          <w:szCs w:val="30"/>
          <w:shd w:val="clear" w:color="auto" w:fill="FFFFFF"/>
        </w:rPr>
        <w:br/>
        <w:t>Под расчетным периодом для расчета потребителей с гарантирующими поставщиками понимается один календарный месяц».</w:t>
      </w:r>
    </w:p>
    <w:p w:rsidR="000E06CC" w:rsidRPr="000E06CC" w:rsidRDefault="000E06CC" w:rsidP="000E06CC">
      <w:pPr>
        <w:numPr>
          <w:ilvl w:val="0"/>
          <w:numId w:val="6"/>
        </w:numPr>
        <w:spacing w:after="0" w:line="240" w:lineRule="auto"/>
        <w:ind w:left="100" w:right="200"/>
        <w:rPr>
          <w:rFonts w:ascii="Arial Narrow" w:eastAsia="Times New Roman" w:hAnsi="Arial Narrow" w:cs="Times New Roman"/>
          <w:color w:val="7F7F7F"/>
          <w:sz w:val="24"/>
          <w:szCs w:val="24"/>
          <w:shd w:val="clear" w:color="auto" w:fill="FFFFFF"/>
        </w:rPr>
      </w:pPr>
      <w:r w:rsidRPr="000E06CC">
        <w:rPr>
          <w:rFonts w:ascii="Arial Narrow" w:eastAsia="Times New Roman" w:hAnsi="Arial Narrow" w:cs="Times New Roman"/>
          <w:color w:val="7F7F7F"/>
          <w:sz w:val="24"/>
          <w:szCs w:val="24"/>
          <w:shd w:val="clear" w:color="auto" w:fill="FFFFFF"/>
        </w:rPr>
        <w:t>В рубрике:</w:t>
      </w:r>
      <w:r w:rsidRPr="000E06CC">
        <w:rPr>
          <w:rFonts w:ascii="Arial Narrow" w:eastAsia="Times New Roman" w:hAnsi="Arial Narrow" w:cs="Times New Roman"/>
          <w:color w:val="7F7F7F"/>
          <w:sz w:val="24"/>
          <w:szCs w:val="24"/>
        </w:rPr>
        <w:t> </w:t>
      </w:r>
      <w:hyperlink r:id="rId5" w:tooltip="Просмотреть все записи в Библиотека" w:history="1">
        <w:r w:rsidRPr="000E06CC">
          <w:rPr>
            <w:rFonts w:ascii="Arial Narrow" w:eastAsia="Times New Roman" w:hAnsi="Arial Narrow" w:cs="Times New Roman"/>
            <w:color w:val="7F7F7F"/>
            <w:sz w:val="24"/>
            <w:szCs w:val="24"/>
            <w:u w:val="single"/>
          </w:rPr>
          <w:t>Библиотека</w:t>
        </w:r>
      </w:hyperlink>
    </w:p>
    <w:p w:rsidR="000E06CC" w:rsidRPr="000E06CC" w:rsidRDefault="000E06CC" w:rsidP="000E06CC">
      <w:pPr>
        <w:spacing w:after="0" w:line="240" w:lineRule="auto"/>
        <w:rPr>
          <w:rFonts w:ascii="Arial Narrow" w:eastAsia="Times New Roman" w:hAnsi="Arial Narrow" w:cs="Times New Roman"/>
          <w:color w:val="4C4C4C"/>
          <w:sz w:val="24"/>
          <w:szCs w:val="24"/>
          <w:shd w:val="clear" w:color="auto" w:fill="FFFFFF"/>
        </w:rPr>
      </w:pPr>
      <w:r w:rsidRPr="000E06CC">
        <w:rPr>
          <w:rFonts w:ascii="Arial Narrow" w:eastAsia="Times New Roman" w:hAnsi="Arial Narrow" w:cs="Times New Roman"/>
          <w:color w:val="4C4C4C"/>
          <w:sz w:val="24"/>
          <w:szCs w:val="24"/>
        </w:rPr>
        <w:t> </w:t>
      </w:r>
    </w:p>
    <w:p w:rsidR="000E06CC" w:rsidRPr="000E06CC" w:rsidRDefault="000E06CC" w:rsidP="000E06CC">
      <w:pPr>
        <w:numPr>
          <w:ilvl w:val="0"/>
          <w:numId w:val="6"/>
        </w:numPr>
        <w:spacing w:line="240" w:lineRule="auto"/>
        <w:ind w:left="100" w:right="200"/>
        <w:rPr>
          <w:rFonts w:ascii="Arial Narrow" w:eastAsia="Times New Roman" w:hAnsi="Arial Narrow" w:cs="Times New Roman"/>
          <w:color w:val="7F7F7F"/>
          <w:sz w:val="24"/>
          <w:szCs w:val="24"/>
          <w:shd w:val="clear" w:color="auto" w:fill="FFFFFF"/>
        </w:rPr>
      </w:pPr>
      <w:r w:rsidRPr="000E06CC">
        <w:rPr>
          <w:rFonts w:ascii="Arial Narrow" w:eastAsia="Times New Roman" w:hAnsi="Arial Narrow" w:cs="Times New Roman"/>
          <w:color w:val="7F7F7F"/>
          <w:sz w:val="24"/>
          <w:szCs w:val="24"/>
          <w:shd w:val="clear" w:color="auto" w:fill="FFFFFF"/>
        </w:rPr>
        <w:t>Метки:</w:t>
      </w:r>
      <w:r w:rsidRPr="000E06CC">
        <w:rPr>
          <w:rFonts w:ascii="Arial Narrow" w:eastAsia="Times New Roman" w:hAnsi="Arial Narrow" w:cs="Times New Roman"/>
          <w:color w:val="7F7F7F"/>
          <w:sz w:val="24"/>
          <w:szCs w:val="24"/>
        </w:rPr>
        <w:t> </w:t>
      </w:r>
      <w:hyperlink r:id="rId6" w:history="1">
        <w:r w:rsidRPr="000E06CC">
          <w:rPr>
            <w:rFonts w:ascii="Arial Narrow" w:eastAsia="Times New Roman" w:hAnsi="Arial Narrow" w:cs="Times New Roman"/>
            <w:color w:val="7F7F7F"/>
            <w:sz w:val="24"/>
            <w:szCs w:val="24"/>
            <w:u w:val="single"/>
          </w:rPr>
          <w:t>Газоснабжение</w:t>
        </w:r>
      </w:hyperlink>
      <w:r w:rsidRPr="000E06CC">
        <w:rPr>
          <w:rFonts w:ascii="Arial Narrow" w:eastAsia="Times New Roman" w:hAnsi="Arial Narrow" w:cs="Times New Roman"/>
          <w:color w:val="7F7F7F"/>
          <w:sz w:val="24"/>
          <w:szCs w:val="24"/>
          <w:shd w:val="clear" w:color="auto" w:fill="FFFFFF"/>
        </w:rPr>
        <w:t>,</w:t>
      </w:r>
      <w:r w:rsidRPr="000E06CC">
        <w:rPr>
          <w:rFonts w:ascii="Arial Narrow" w:eastAsia="Times New Roman" w:hAnsi="Arial Narrow" w:cs="Times New Roman"/>
          <w:color w:val="7F7F7F"/>
          <w:sz w:val="24"/>
          <w:szCs w:val="24"/>
        </w:rPr>
        <w:t> </w:t>
      </w:r>
      <w:hyperlink r:id="rId7" w:history="1">
        <w:r w:rsidRPr="000E06CC">
          <w:rPr>
            <w:rFonts w:ascii="Arial Narrow" w:eastAsia="Times New Roman" w:hAnsi="Arial Narrow" w:cs="Times New Roman"/>
            <w:color w:val="7F7F7F"/>
            <w:sz w:val="24"/>
            <w:szCs w:val="24"/>
            <w:u w:val="single"/>
          </w:rPr>
          <w:t>Теплоснабжение</w:t>
        </w:r>
      </w:hyperlink>
      <w:r w:rsidRPr="000E06CC">
        <w:rPr>
          <w:rFonts w:ascii="Arial Narrow" w:eastAsia="Times New Roman" w:hAnsi="Arial Narrow" w:cs="Times New Roman"/>
          <w:color w:val="7F7F7F"/>
          <w:sz w:val="24"/>
          <w:szCs w:val="24"/>
          <w:shd w:val="clear" w:color="auto" w:fill="FFFFFF"/>
        </w:rPr>
        <w:t>,</w:t>
      </w:r>
      <w:r w:rsidRPr="000E06CC">
        <w:rPr>
          <w:rFonts w:ascii="Arial Narrow" w:eastAsia="Times New Roman" w:hAnsi="Arial Narrow" w:cs="Times New Roman"/>
          <w:color w:val="7F7F7F"/>
          <w:sz w:val="24"/>
          <w:szCs w:val="24"/>
        </w:rPr>
        <w:t> </w:t>
      </w:r>
      <w:hyperlink r:id="rId8" w:history="1">
        <w:r w:rsidRPr="000E06CC">
          <w:rPr>
            <w:rFonts w:ascii="Arial Narrow" w:eastAsia="Times New Roman" w:hAnsi="Arial Narrow" w:cs="Times New Roman"/>
            <w:color w:val="7F7F7F"/>
            <w:sz w:val="24"/>
            <w:szCs w:val="24"/>
            <w:u w:val="single"/>
          </w:rPr>
          <w:t>Энергоснабжение</w:t>
        </w:r>
      </w:hyperlink>
    </w:p>
    <w:p w:rsidR="00F111FD" w:rsidRDefault="00F111FD"/>
    <w:sectPr w:rsidR="00F111FD" w:rsidSect="0056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CF9"/>
    <w:multiLevelType w:val="multilevel"/>
    <w:tmpl w:val="B2AE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E3B0C"/>
    <w:multiLevelType w:val="multilevel"/>
    <w:tmpl w:val="0762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F1AC5"/>
    <w:multiLevelType w:val="multilevel"/>
    <w:tmpl w:val="50EC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4346D"/>
    <w:multiLevelType w:val="multilevel"/>
    <w:tmpl w:val="E866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37BFC"/>
    <w:multiLevelType w:val="multilevel"/>
    <w:tmpl w:val="9D40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F237CB"/>
    <w:multiLevelType w:val="multilevel"/>
    <w:tmpl w:val="1DF2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E06CC"/>
    <w:rsid w:val="000E06CC"/>
    <w:rsid w:val="0032144E"/>
    <w:rsid w:val="00566C4F"/>
    <w:rsid w:val="00F1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4F"/>
  </w:style>
  <w:style w:type="paragraph" w:styleId="1">
    <w:name w:val="heading 1"/>
    <w:basedOn w:val="a"/>
    <w:link w:val="10"/>
    <w:uiPriority w:val="9"/>
    <w:qFormat/>
    <w:rsid w:val="000E0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6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E06CC"/>
    <w:rPr>
      <w:b/>
      <w:bCs/>
    </w:rPr>
  </w:style>
  <w:style w:type="character" w:customStyle="1" w:styleId="apple-converted-space">
    <w:name w:val="apple-converted-space"/>
    <w:basedOn w:val="a0"/>
    <w:rsid w:val="000E06CC"/>
  </w:style>
  <w:style w:type="paragraph" w:styleId="a4">
    <w:name w:val="Normal (Web)"/>
    <w:basedOn w:val="a"/>
    <w:uiPriority w:val="99"/>
    <w:semiHidden/>
    <w:unhideWhenUsed/>
    <w:rsid w:val="000E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E06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336">
          <w:marLeft w:val="100"/>
          <w:marRight w:val="1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aliningrad.ru/tag/energosnabz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kaliningrad.ru/tag/teplosnabz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kaliningrad.ru/tag/gazosnabzhenie/" TargetMode="External"/><Relationship Id="rId5" Type="http://schemas.openxmlformats.org/officeDocument/2006/relationships/hyperlink" Target="http://kkaliningrad.ru/librar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Ekaterina</cp:lastModifiedBy>
  <cp:revision>2</cp:revision>
  <dcterms:created xsi:type="dcterms:W3CDTF">2011-08-25T11:27:00Z</dcterms:created>
  <dcterms:modified xsi:type="dcterms:W3CDTF">2011-08-25T11:27:00Z</dcterms:modified>
</cp:coreProperties>
</file>